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81 MULTICHAIN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81 MULTICHAIN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třemí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95,83 %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250 000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Mince (scatter) </w:t>
      </w:r>
      <w:proofErr w:type="gramEnd"/>
      <w:r>
        <w:t xml:space="preserve"> Symbol Mince (scatter) s různými hodnotami a to 1x, 2x, 5x, 10x, 25x nebo 50x sázka. V případě, že symbol Mince (scatter) dopadne na neoznačený slot, tak jej označí. Když dopadne na označený, hráč vyhrává částku na minci. Zároveň vyhrává tuto částku za všechny označené sloty, které se s tímto slotem dotýkají alespoň jednou stranou. Částka se takto řetězově rozšíří na všechny dotýkající se sloty.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Wild  </w:t>
      </w:r>
      <w:proofErr w:type="gramEnd"/>
      <w:r>
        <w:t xml:space="preserve"> Symbol Wild nahrazuje jakýkoliv symbol kromě symbolu Mince (scatter).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p w14:paraId="5D41158D" w14:textId="6FD97FFF" w:rsidR="00B54AD3" w:rsidRDefault="007F4AAE">
      <w:pPr>
        <w:ind w:left="1024" w:right="674"/>
      </w:pPr>
      <w:r>
        <w:t>.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Bar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Třešně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Hrozno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Mince (scatter)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